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ENGINEERING CONSULTANT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PROJECT / PO REFERENCE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BILLING PERIOD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(CONSULTANT / FIRM)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(CLIENT)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PROFESSIONAL SERVICES (labour category x hours)</w:t>
      </w:r>
    </w:p>
    <w:p>
      <w:r>
        <w:rPr>
          <w:color w:val="6B7280"/>
          <w:sz w:val="16"/>
          <w:szCs w:val="16"/>
        </w:rPr>
        <w:t xml:space="preserve">One line per labour category; write the phase or % complete in the description if your contract bills that way.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Principal engineer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Project engineer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Designer / CAD technician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Services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REIMBURSABLE EXPENSES (at cost)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COST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Expenses subtotal:  __________________</w:t>
      </w:r>
    </w:p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Reference the contract or proposal. Bill labour categories as separate hourly lines and reimbursable expenses at cost, as your agreement sets.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myinvoicetemplate.com/tools/consulting-invoice-generator/engineering/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