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INVOICE</w:t>
      </w:r>
    </w:p>
    <w:p>
      <w:r>
        <w:rPr>
          <w:color w:val="6B7280"/>
          <w:sz w:val="17"/>
          <w:szCs w:val="17"/>
        </w:rPr>
        <w:t xml:space="preserve">No GST or VAT line — for sellers who are not registered to charge GST or VAT.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TERMS  </w:t>
      </w:r>
      <w:r>
        <w:rPr>
          <w:color w:val="9CA3AF"/>
        </w:rPr>
        <w:t xml:space="preserve">_____________________________________________</w:t>
      </w:r>
    </w:p>
    <w:p>
      <w:r>
        <w:rPr>
          <w:b/>
          <w:sz w:val="16"/>
          <w:color w:val="6B7280"/>
        </w:rPr>
        <w:t xml:space="preserve">ABN / BUSINESS NUMBER (IF YOU HAVE ONE)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(SELLER)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(CUSTOMER)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rPr>
          <w:b/>
          <w:color w:val="4338CA"/>
        </w:rPr>
        <w:t xml:space="preserve">TOTAL DUE:  __________________</w:t>
      </w:r>
    </w:p>
    <w:p>
      <w:r>
        <w:t xml:space="preserve"/>
      </w:r>
    </w:p>
    <w:p>
      <w:r>
        <w:t xml:space="preserve">[   ]  No GST/VAT charged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This invoice has no tax row. If you are registered to charge GST or VAT, use a tax or VAT invoice instead.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