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PROFORMA INVOICE</w:t>
      </w:r>
    </w:p>
    <w:p>
      <w:r>
        <w:rPr>
          <w:color w:val="6B7280"/>
          <w:sz w:val="17"/>
          <w:szCs w:val="17"/>
        </w:rPr>
        <w:t xml:space="preserve">Not a tax invoice — issued for quotation, prepayment or customs purposes.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PROFORMA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VALID UNTIL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TO (BUYER)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DELIVERY / INCOTERMS (OPTIONAL)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 (if applicable):  __________________</w:t>
      </w:r>
    </w:p>
    <w:p>
      <w:pPr>
        <w:jc w:val="right"/>
      </w:pPr>
      <w:r>
        <w:rPr>
          <w:b/>
          <w:color w:val="4338CA"/>
        </w:rPr>
        <w:t xml:space="preserve">TOTAL: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Replace with a commercial or tax invoice once the sale is final. The buyer cannot reclaim VAT from a proforma.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myinvoicetemplate.com/tools/proforma-invoice-generator/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